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0D3E84">
      <w:pPr>
        <w:pStyle w:val="2"/>
        <w:ind w:firstLine="0"/>
        <w:jc w:val="left"/>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附件2</w:t>
      </w:r>
    </w:p>
    <w:p w14:paraId="0124471E">
      <w:pPr>
        <w:pStyle w:val="2"/>
        <w:jc w:val="center"/>
        <w:rPr>
          <w:rFonts w:ascii="方正公文小标宋" w:hAnsi="方正公文小标宋" w:eastAsia="方正公文小标宋" w:cs="方正公文小标宋"/>
          <w:sz w:val="44"/>
          <w:szCs w:val="44"/>
        </w:rPr>
      </w:pPr>
      <w:r>
        <w:rPr>
          <w:rFonts w:hint="eastAsia" w:ascii="方正公文小标宋" w:hAnsi="方正公文小标宋" w:eastAsia="方正公文小标宋" w:cs="方正公文小标宋"/>
          <w:sz w:val="44"/>
          <w:szCs w:val="44"/>
        </w:rPr>
        <w:t>专题讲座专家简介</w:t>
      </w:r>
    </w:p>
    <w:p w14:paraId="67C8F26F">
      <w:pPr>
        <w:pStyle w:val="2"/>
        <w:ind w:firstLine="0"/>
        <w:rPr>
          <w:rFonts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1、袁锦昀  院士</w:t>
      </w:r>
    </w:p>
    <w:p w14:paraId="2309706F">
      <w:pPr>
        <w:pStyle w:val="2"/>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袁锦昀，巴西科学院院士、计算数学研究专家、东莞理工学院校长特聘教授，在应用和计算数学领域有着深厚的学术积淀与广泛的影响力。本科毕业于中国南京工学院数学专业，在此期间系统学习数学基础理论，为其后续的学术研究构筑了坚实根基。随后，他在东南大学取得数值代数方向的理学硕士学位，专注于数值代数的深入探索，进一步拓展了学术视野和研究能力。之后，袁锦昀前往巴西，在巴西纯数学和应用数学研究所攻读优化专业，获得科学博士学位，接触到国际前沿的学术理念与研究方法。并在斯坦福大学计算机系完成博士后研究，师从计算数学领域的权威 G.H. Golub 教授，深入学习前沿的计算数学知识与研究技术，积累了丰富的科研经验。</w:t>
      </w:r>
    </w:p>
    <w:p w14:paraId="3C2B04AD">
      <w:pPr>
        <w:pStyle w:val="2"/>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在职业发展历程中，袁锦昀成就卓著。在巴拉那联邦大学担任终身正教授时，他主导建立了本科工业数学学士、应用数学硕士以及数学及应用数学博士点，精心规划数学系的长期发展战略，极大地提升了该校数学学科的整体实力和国际影响力。加入东莞理工学院后，他积极推动与巴西高校联合培养数学研究生的项目，大力引进优秀人才，促进多学科交叉融合发展，与多个国内外机构建立了广泛且深入的合作关系。他还成功举办中巴科技创新合作论坛，为中巴两国在科技领域的交流与合作搭建了重要平台。同时，积极筹建多个科研中心及组织，为学术研究与创新创造了良好的条件。</w:t>
      </w:r>
    </w:p>
    <w:p w14:paraId="595F3D15">
      <w:pPr>
        <w:pStyle w:val="2"/>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袁锦昀熟练掌握英语、普通话、葡萄牙语，具备德语阅读和西班牙语听说能力，这为其国际学术交流提供了有力支撑。凭借在学术科研领域的杰出贡献，他荣获巴西科技大十字勋章、巴西政府科研津贴1A、巴西国家科学等多项荣誉。他始终致力于应用和计算数学前沿领域的研究与探索，以扎实的专业知识和丰富的实践经验推动学科不断发展，是科研与教育领域当之无愧的杰出代表人物。</w:t>
      </w:r>
    </w:p>
    <w:p w14:paraId="35B73F79">
      <w:pPr>
        <w:pStyle w:val="2"/>
        <w:rPr>
          <w:rFonts w:ascii="方正仿宋_GB2312" w:hAnsi="方正仿宋_GB2312" w:eastAsia="方正仿宋_GB2312" w:cs="方正仿宋_GB2312"/>
          <w:sz w:val="32"/>
          <w:szCs w:val="32"/>
        </w:rPr>
      </w:pPr>
    </w:p>
    <w:p w14:paraId="520ACD90">
      <w:pPr>
        <w:pStyle w:val="2"/>
        <w:ind w:firstLine="0"/>
        <w:rPr>
          <w:rFonts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2.黄永健  博士</w:t>
      </w:r>
    </w:p>
    <w:p w14:paraId="037CE788">
      <w:pPr>
        <w:pStyle w:val="2"/>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黄永健博士，轩辕网络副总裁、轩辕研究院院长、英国南安普顿大学计算机科学博士、华为鲲鹏开发者专家、中国通信工业协会人工智能专业委员会会员、广东省计算机学会人工智能专业委员会会员、粤港澳大湾区人工智能产业智库专家。主持广东省重点领域研发项目《基于人工智能的数字出版平台关键技术研究及应用》和广州市重大攻关计划《基于自然语言语义分析和深度学习的智能在线教学》。主持开发DATALAB数据实验室平台，通过训练内嵌物理信息的神经网络求解偏微分方程，探索解决科学计算基础软件“卡脖子”难题，荣获2021年华为鲲鹏应用创新大赛广东赛区一等奖和广东省优秀软件产品奖项，成为2022年科研领域唯一入选华为鲲鹏精选解决方案。首创大模型六级课程体系，并主持开发Regulus轻量级大模型，在消费级硬件上成功复刻GPT三步训练法（即预训练、指令微调和反馈对齐），适用于实践教学、科研、边缘计算等多种应用场景，荣获2024年华为昇腾AI创新大赛最佳原生创新奖。荣获英国杰出校友大奖Finalist，广东省人工智能产业协会智推力先进人物奖，广东省云计算应用协会大数据先锋人物奖以及广州市优秀软件人才。申请发明专利12件，发表学术论文20余篇，出版《Supporting Meaningful Social Networks》、《极简AI入门》等著作。</w:t>
      </w:r>
    </w:p>
    <w:p w14:paraId="69CAF431">
      <w:pPr>
        <w:pStyle w:val="2"/>
        <w:rPr>
          <w:rFonts w:ascii="方正仿宋_GB2312" w:hAnsi="方正仿宋_GB2312" w:eastAsia="方正仿宋_GB2312" w:cs="方正仿宋_GB2312"/>
          <w:sz w:val="32"/>
          <w:szCs w:val="32"/>
        </w:rPr>
      </w:pPr>
    </w:p>
    <w:p w14:paraId="2A06E6F3">
      <w:pPr>
        <w:pStyle w:val="2"/>
        <w:ind w:firstLine="0"/>
        <w:rPr>
          <w:rFonts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3周策  博士</w:t>
      </w:r>
    </w:p>
    <w:p w14:paraId="65D6C860">
      <w:pPr>
        <w:pStyle w:val="2"/>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周策，现任数鼎科技有限公司CTO、原华为公司技术专家。专注于智能制造与人工智能技术的融合创新。在机器学习（ML）、深度学习（DL）、自然语言处理（NLP）及大模型工程化应用领域拥有丰富的行业经验，主导过多类企业级DI及AI解决方案研发，擅长将前沿学术成果转化为工业场景的落地实践。</w:t>
      </w:r>
    </w:p>
    <w:p w14:paraId="7BD1EB61">
      <w:pPr>
        <w:pStyle w:val="2"/>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周策长期深耕算法技术（DI及AI）与企业需求的结合，在数鼎科技期间，主导核心产品定价体系的工程化落地，通过算法优化与系统开发，实现价格决策模型的规模化应用；构建NexAgentTM框架，推动大模型与AI智能体在企业端深度赋能，服务领域涉及汽车、制造、零售、电商、教育、能源。覆盖产品全生命周期成本管理等全价值链场景。其自主研发的知识图谱-大模型闭环决策引擎，成功应用于智能维修诊断系统，帮助用户秒级精准定位故障、智能生成解决方案；开发的智能问数应用则革新传统BI模式，通过AI Agent技术实现亿级数据的秒级分析，精准度达专家水平，助力企业“数据驱动决策”战略落地。</w:t>
      </w:r>
    </w:p>
    <w:p w14:paraId="3F3FE6A5">
      <w:pPr>
        <w:pStyle w:val="2"/>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针对企业级AI应用痛点，他提出系统性解决方案NexAgentTM，确保大模型在复杂场景下的工作能力的同时，保证大模型输入输出的安全性；主导非结构化数据解析与治理技术研发，破解多源数据融合难题；同时，在大模型微调训练、安全监控等关键环节积累丰富实战经验，为企业高可靠性AI智能体部署提供全链路支持。</w:t>
      </w:r>
    </w:p>
    <w:p w14:paraId="11800BE8">
      <w:pPr>
        <w:pStyle w:val="2"/>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作为广州大学特聘校外导师，周策注重产学研协同，致力于培养兼具理论与实战能力的技术人才。其分享内容以“技术落地”为核心，结合智能维修诊断、智能问数等标杆案例，为企业提供从架构设计到风险管控的完整方法论，意在助力电池制造等行业实现AI技术的高效应用与创新突破。</w:t>
      </w:r>
    </w:p>
    <w:p w14:paraId="78556D17">
      <w:pPr>
        <w:ind w:left="320"/>
        <w:rPr>
          <w:rFonts w:ascii="方正仿宋_GB2312" w:hAnsi="方正仿宋_GB2312" w:eastAsia="方正仿宋_GB2312" w:cs="方正仿宋_GB2312"/>
          <w:sz w:val="32"/>
          <w:szCs w:val="32"/>
        </w:rPr>
      </w:pPr>
    </w:p>
    <w:p w14:paraId="0046F2D6">
      <w:pPr>
        <w:ind w:left="320"/>
        <w:rPr>
          <w:rFonts w:ascii="方正仿宋_GB2312" w:hAnsi="方正仿宋_GB2312" w:eastAsia="方正仿宋_GB2312" w:cs="方正仿宋_GB2312"/>
          <w:sz w:val="32"/>
          <w:szCs w:val="32"/>
        </w:rPr>
      </w:pPr>
    </w:p>
    <w:p w14:paraId="3CDEA960">
      <w:pPr>
        <w:ind w:left="320"/>
        <w:rPr>
          <w:rFonts w:ascii="方正仿宋_GB2312" w:hAnsi="方正仿宋_GB2312" w:eastAsia="方正仿宋_GB2312" w:cs="方正仿宋_GB2312"/>
          <w:sz w:val="32"/>
          <w:szCs w:val="32"/>
        </w:rPr>
      </w:pPr>
    </w:p>
    <w:p w14:paraId="4514931B">
      <w:pPr>
        <w:ind w:left="320"/>
        <w:rPr>
          <w:rFonts w:ascii="方正仿宋_GB2312" w:hAnsi="方正仿宋_GB2312" w:eastAsia="方正仿宋_GB2312" w:cs="方正仿宋_GB2312"/>
          <w:sz w:val="32"/>
          <w:szCs w:val="32"/>
        </w:rPr>
      </w:pPr>
    </w:p>
    <w:p w14:paraId="415C42C2">
      <w:pPr>
        <w:ind w:left="320"/>
        <w:rPr>
          <w:rFonts w:ascii="方正仿宋_GB2312" w:hAnsi="方正仿宋_GB2312" w:eastAsia="方正仿宋_GB2312" w:cs="方正仿宋_GB2312"/>
          <w:sz w:val="32"/>
          <w:szCs w:val="32"/>
        </w:rPr>
      </w:pPr>
    </w:p>
    <w:p w14:paraId="0B79DF0D">
      <w:pPr>
        <w:ind w:left="320"/>
        <w:rPr>
          <w:rFonts w:ascii="方正仿宋_GB2312" w:hAnsi="方正仿宋_GB2312" w:eastAsia="方正仿宋_GB2312" w:cs="方正仿宋_GB2312"/>
          <w:sz w:val="32"/>
          <w:szCs w:val="32"/>
        </w:rPr>
      </w:pPr>
    </w:p>
    <w:p w14:paraId="5D6EAFA4">
      <w:pPr>
        <w:ind w:left="320"/>
        <w:rPr>
          <w:rFonts w:ascii="方正仿宋_GB2312" w:hAnsi="方正仿宋_GB2312" w:eastAsia="方正仿宋_GB2312" w:cs="方正仿宋_GB2312"/>
          <w:sz w:val="32"/>
          <w:szCs w:val="32"/>
        </w:rPr>
      </w:pPr>
    </w:p>
    <w:p w14:paraId="7A551013">
      <w:pPr>
        <w:ind w:left="320"/>
        <w:rPr>
          <w:rFonts w:ascii="方正仿宋_GB2312" w:hAnsi="方正仿宋_GB2312" w:eastAsia="方正仿宋_GB2312" w:cs="方正仿宋_GB2312"/>
          <w:sz w:val="32"/>
          <w:szCs w:val="32"/>
        </w:rPr>
      </w:pPr>
    </w:p>
    <w:p w14:paraId="2C569F84">
      <w:pPr>
        <w:ind w:left="320"/>
        <w:rPr>
          <w:rFonts w:ascii="方正仿宋_GB2312" w:hAnsi="方正仿宋_GB2312" w:eastAsia="方正仿宋_GB2312" w:cs="方正仿宋_GB2312"/>
          <w:sz w:val="32"/>
          <w:szCs w:val="32"/>
        </w:rPr>
      </w:pPr>
    </w:p>
    <w:p w14:paraId="1232531D">
      <w:pPr>
        <w:ind w:left="320"/>
        <w:rPr>
          <w:rFonts w:ascii="方正仿宋_GB2312" w:hAnsi="方正仿宋_GB2312" w:eastAsia="方正仿宋_GB2312" w:cs="方正仿宋_GB2312"/>
          <w:sz w:val="32"/>
          <w:szCs w:val="32"/>
        </w:rPr>
      </w:pPr>
    </w:p>
    <w:p w14:paraId="2FAB2FF1">
      <w:pPr>
        <w:ind w:left="320"/>
        <w:rPr>
          <w:rFonts w:ascii="方正仿宋_GB2312" w:hAnsi="方正仿宋_GB2312" w:eastAsia="方正仿宋_GB2312" w:cs="方正仿宋_GB2312"/>
          <w:sz w:val="32"/>
          <w:szCs w:val="32"/>
        </w:rPr>
      </w:pPr>
    </w:p>
    <w:p w14:paraId="05677F5F">
      <w:pPr>
        <w:rPr>
          <w:rFonts w:ascii="方正仿宋_GB2312" w:hAnsi="方正仿宋_GB2312" w:eastAsia="方正仿宋_GB2312" w:cs="方正仿宋_GB2312"/>
          <w:sz w:val="32"/>
          <w:szCs w:val="32"/>
        </w:rPr>
      </w:pPr>
      <w:bookmarkStart w:id="0" w:name="_GoBack"/>
      <w:bookmarkEnd w:id="0"/>
    </w:p>
    <w:sectPr>
      <w:pgSz w:w="11900" w:h="16840"/>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公文小标宋">
    <w:altName w:val="微软雅黑"/>
    <w:panose1 w:val="00000000000000000000"/>
    <w:charset w:val="86"/>
    <w:family w:val="auto"/>
    <w:pitch w:val="default"/>
    <w:sig w:usb0="00000000" w:usb1="00000000"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仿宋_GB2312">
    <w:altName w:val="微软雅黑"/>
    <w:panose1 w:val="00000000000000000000"/>
    <w:charset w:val="86"/>
    <w:family w:val="auto"/>
    <w:pitch w:val="default"/>
    <w:sig w:usb0="00000000" w:usb1="00000000" w:usb2="00000012" w:usb3="00000000" w:csb0="00040001" w:csb1="00000000"/>
  </w:font>
  <w:font w:name="___WRD_EMBED_SUB_46">
    <w:altName w:val="微软雅黑"/>
    <w:panose1 w:val="00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6C4"/>
    <w:rsid w:val="00112AFA"/>
    <w:rsid w:val="00361F62"/>
    <w:rsid w:val="00741AD0"/>
    <w:rsid w:val="0077709B"/>
    <w:rsid w:val="008D56C4"/>
    <w:rsid w:val="00950F44"/>
    <w:rsid w:val="009D55CC"/>
    <w:rsid w:val="00A17AFE"/>
    <w:rsid w:val="00A3052D"/>
    <w:rsid w:val="00A957BD"/>
    <w:rsid w:val="00C5668C"/>
    <w:rsid w:val="00CC5E88"/>
    <w:rsid w:val="00CE1560"/>
    <w:rsid w:val="00DC463C"/>
    <w:rsid w:val="00E558A2"/>
    <w:rsid w:val="00EA6900"/>
    <w:rsid w:val="1D915AAD"/>
    <w:rsid w:val="29FB2174"/>
    <w:rsid w:val="65567D47"/>
    <w:rsid w:val="675872FB"/>
    <w:rsid w:val="6C352B75"/>
    <w:rsid w:val="6CF710E0"/>
    <w:rsid w:val="6D3224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Normal Indent"/>
    <w:basedOn w:val="1"/>
    <w:qFormat/>
    <w:uiPriority w:val="0"/>
    <w:pPr>
      <w:wordWrap w:val="0"/>
      <w:spacing w:after="60" w:line="312" w:lineRule="auto"/>
      <w:ind w:firstLine="567"/>
    </w:pPr>
  </w:style>
  <w:style w:type="paragraph" w:styleId="3">
    <w:name w:val="footer"/>
    <w:basedOn w:val="1"/>
    <w:link w:val="11"/>
    <w:uiPriority w:val="0"/>
    <w:pPr>
      <w:tabs>
        <w:tab w:val="center" w:pos="4153"/>
        <w:tab w:val="right" w:pos="8306"/>
      </w:tabs>
      <w:snapToGrid w:val="0"/>
      <w:jc w:val="left"/>
    </w:pPr>
    <w:rPr>
      <w:sz w:val="18"/>
      <w:szCs w:val="18"/>
    </w:rPr>
  </w:style>
  <w:style w:type="paragraph" w:styleId="4">
    <w:name w:val="header"/>
    <w:basedOn w:val="1"/>
    <w:link w:val="10"/>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34"/>
    <w:pPr>
      <w:ind w:firstLine="420" w:firstLineChars="200"/>
    </w:pPr>
  </w:style>
  <w:style w:type="paragraph" w:customStyle="1" w:styleId="9">
    <w:name w:val="列表段落1"/>
    <w:basedOn w:val="1"/>
    <w:semiHidden/>
    <w:qFormat/>
    <w:uiPriority w:val="0"/>
    <w:pPr>
      <w:ind w:firstLine="420" w:firstLineChars="200"/>
    </w:pPr>
    <w:rPr>
      <w:rFonts w:ascii="Calibri" w:hAnsi="Calibri" w:eastAsia="宋体" w:cs="Times New Roman"/>
      <w:szCs w:val="21"/>
    </w:rPr>
  </w:style>
  <w:style w:type="character" w:customStyle="1" w:styleId="10">
    <w:name w:val="页眉 字符"/>
    <w:basedOn w:val="7"/>
    <w:link w:val="4"/>
    <w:uiPriority w:val="0"/>
    <w:rPr>
      <w:kern w:val="2"/>
      <w:sz w:val="18"/>
      <w:szCs w:val="18"/>
    </w:rPr>
  </w:style>
  <w:style w:type="character" w:customStyle="1" w:styleId="11">
    <w:name w:val="页脚 字符"/>
    <w:basedOn w:val="7"/>
    <w:link w:val="3"/>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3AA32D-E31A-4151-B65D-24D244E14BA2}">
  <ds:schemaRefs/>
</ds:datastoreItem>
</file>

<file path=docProps/app.xml><?xml version="1.0" encoding="utf-8"?>
<Properties xmlns="http://schemas.openxmlformats.org/officeDocument/2006/extended-properties" xmlns:vt="http://schemas.openxmlformats.org/officeDocument/2006/docPropsVTypes">
  <Template>Normal.dotm</Template>
  <Pages>4</Pages>
  <Words>4635</Words>
  <Characters>5052</Characters>
  <Lines>38</Lines>
  <Paragraphs>10</Paragraphs>
  <TotalTime>82</TotalTime>
  <ScaleCrop>false</ScaleCrop>
  <LinksUpToDate>false</LinksUpToDate>
  <CharactersWithSpaces>5185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2025-04-29T06:46:00Z</dcterms:created>
  <dc:creator>Administrator</dc:creator>
  <cp:lastModifiedBy>钟小帅</cp:lastModifiedBy>
  <cp:lastPrinted>2025-04-29T08:23:00Z</cp:lastPrinted>
  <dcterms:modified xsi:type="dcterms:W3CDTF">2025-05-06T07:50:55Z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eyJoZGlkIjoiOTIxY2Q1ZGNhNGE1NzQxOTFhYTFlYmFiZTYxMDRlODIiLCJ1c2VySWQiOiIyNjI0MTcyMTcifQ==</vt:lpwstr>
  </property>
  <property fmtid="{D5CDD505-2E9C-101B-9397-08002B2CF9AE}" pid="4" name="ICV">
    <vt:lpwstr>DE8FBE2DB06E4091866879B9DA318219_12</vt:lpwstr>
  </property>
</Properties>
</file>